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9"/>
        </w:rPr>
      </w:pPr>
    </w:p>
    <w:p>
      <w:pPr>
        <w:pStyle w:val="Heading1"/>
        <w:spacing w:before="90"/>
        <w:ind w:left="2195" w:right="2199"/>
        <w:jc w:val="center"/>
      </w:pPr>
      <w:r>
        <w:rPr>
          <w:color w:val="0087CC"/>
        </w:rPr>
        <w:t>OPEN ACCESS PUBLISHING AGREEMENT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8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07" w:lineRule="exact" w:before="0" w:after="0"/>
        <w:ind w:left="838" w:right="0" w:hanging="361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0087CC"/>
          <w:sz w:val="18"/>
        </w:rPr>
        <w:t>Instructions and footnotes in blue should be deleted.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7" w:hanging="36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0087CC"/>
          <w:sz w:val="18"/>
        </w:rPr>
        <w:t>For options </w:t>
      </w:r>
      <w:r>
        <w:rPr>
          <w:rFonts w:ascii="Arial" w:hAnsi="Arial"/>
          <w:b/>
          <w:i/>
          <w:color w:val="0087CC"/>
          <w:sz w:val="18"/>
        </w:rPr>
        <w:t>[</w:t>
      </w:r>
      <w:r>
        <w:rPr>
          <w:rFonts w:ascii="Arial" w:hAnsi="Arial"/>
          <w:b/>
          <w:color w:val="0087CC"/>
          <w:sz w:val="18"/>
        </w:rPr>
        <w:t>in square brackets</w:t>
      </w:r>
      <w:r>
        <w:rPr>
          <w:rFonts w:ascii="Arial" w:hAnsi="Arial"/>
          <w:b/>
          <w:i/>
          <w:color w:val="0087CC"/>
          <w:sz w:val="18"/>
        </w:rPr>
        <w:t>]</w:t>
      </w:r>
      <w:r>
        <w:rPr>
          <w:rFonts w:ascii="Arial" w:hAnsi="Arial"/>
          <w:b/>
          <w:color w:val="0087CC"/>
          <w:sz w:val="18"/>
        </w:rPr>
        <w:t>: choose the applicable option. Options not chosen should be deleted.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06" w:lineRule="exact" w:before="0" w:after="0"/>
        <w:ind w:left="838" w:right="0" w:hanging="361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0087CC"/>
          <w:sz w:val="18"/>
        </w:rPr>
        <w:t>For fields in [</w:t>
      </w:r>
      <w:r>
        <w:rPr>
          <w:rFonts w:ascii="Arial" w:hAnsi="Arial"/>
          <w:b/>
          <w:color w:val="0087CC"/>
          <w:sz w:val="18"/>
          <w:shd w:fill="C0C0C0" w:color="auto" w:val="clear"/>
        </w:rPr>
        <w:t>grey in square brackets</w:t>
      </w:r>
      <w:r>
        <w:rPr>
          <w:rFonts w:ascii="Arial" w:hAnsi="Arial"/>
          <w:b/>
          <w:color w:val="0087CC"/>
          <w:sz w:val="18"/>
        </w:rPr>
        <w:t>]: enter the appropriate</w:t>
      </w:r>
      <w:r>
        <w:rPr>
          <w:rFonts w:ascii="Arial" w:hAnsi="Arial"/>
          <w:b/>
          <w:color w:val="0087CC"/>
          <w:spacing w:val="-18"/>
          <w:sz w:val="18"/>
        </w:rPr>
        <w:t> </w:t>
      </w:r>
      <w:r>
        <w:rPr>
          <w:rFonts w:ascii="Arial" w:hAnsi="Arial"/>
          <w:b/>
          <w:color w:val="0087CC"/>
          <w:sz w:val="18"/>
        </w:rPr>
        <w:t>data.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135"/>
        <w:ind w:left="2195" w:right="2144"/>
        <w:jc w:val="center"/>
      </w:pPr>
      <w:r>
        <w:rPr/>
        <w:t>ADDENDUM</w:t>
      </w:r>
    </w:p>
    <w:p>
      <w:pPr>
        <w:spacing w:before="225"/>
        <w:ind w:left="118" w:right="123" w:firstLine="0"/>
        <w:jc w:val="both"/>
        <w:rPr>
          <w:i/>
          <w:sz w:val="20"/>
        </w:rPr>
      </w:pPr>
      <w:r>
        <w:rPr>
          <w:i/>
          <w:color w:val="0087CC"/>
          <w:sz w:val="20"/>
        </w:rPr>
        <w:t>(To be filled out by the beneficiary/author and the publisher. This model is not mandatory but reflects the </w:t>
      </w:r>
      <w:r>
        <w:rPr>
          <w:i/>
          <w:color w:val="0087CC"/>
          <w:sz w:val="20"/>
        </w:rPr>
        <w:t>obligations for the beneficiary under the H2020 grant agreements. It can be supplemented by further provisions agreed between the parties, provided they are compatible with the Grant Agreement. The Commission/Agency takes no responsibility for the use of this model.)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25"/>
        </w:rPr>
      </w:pPr>
    </w:p>
    <w:p>
      <w:pPr>
        <w:spacing w:before="1"/>
        <w:ind w:left="118" w:right="0" w:firstLine="0"/>
        <w:jc w:val="both"/>
        <w:rPr>
          <w:sz w:val="24"/>
        </w:rPr>
      </w:pPr>
      <w:r>
        <w:rPr>
          <w:sz w:val="24"/>
        </w:rPr>
        <w:t>This ‘</w:t>
      </w:r>
      <w:r>
        <w:rPr>
          <w:b/>
          <w:sz w:val="24"/>
        </w:rPr>
        <w:t>Addendum</w:t>
      </w:r>
      <w:r>
        <w:rPr>
          <w:sz w:val="24"/>
        </w:rPr>
        <w:t>’ is </w:t>
      </w:r>
      <w:r>
        <w:rPr>
          <w:b/>
          <w:sz w:val="24"/>
        </w:rPr>
        <w:t>between </w:t>
      </w:r>
      <w:r>
        <w:rPr>
          <w:sz w:val="24"/>
        </w:rPr>
        <w:t>the following parties: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jc w:val="both"/>
        <w:rPr>
          <w:b w:val="0"/>
        </w:rPr>
      </w:pPr>
      <w:r>
        <w:rPr/>
        <w:t>on the one part</w:t>
      </w:r>
      <w:r>
        <w:rPr>
          <w:b w:val="0"/>
        </w:rPr>
        <w:t>,</w:t>
      </w:r>
    </w:p>
    <w:p>
      <w:pPr>
        <w:pStyle w:val="BodyText"/>
      </w:pPr>
    </w:p>
    <w:p>
      <w:pPr>
        <w:pStyle w:val="BodyText"/>
        <w:ind w:left="118"/>
      </w:pPr>
      <w:r>
        <w:rPr/>
        <w:t>1. the publisher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18" w:right="614" w:firstLine="0"/>
        <w:jc w:val="left"/>
        <w:rPr>
          <w:sz w:val="24"/>
        </w:rPr>
      </w:pPr>
      <w:r>
        <w:rPr>
          <w:b/>
          <w:sz w:val="24"/>
        </w:rPr>
        <w:t>[</w:t>
      </w:r>
      <w:r>
        <w:rPr>
          <w:b/>
          <w:sz w:val="24"/>
          <w:shd w:fill="C0C0C0" w:color="auto" w:val="clear"/>
        </w:rPr>
        <w:t>full official name (short name)</w:t>
      </w:r>
      <w:r>
        <w:rPr>
          <w:b/>
          <w:sz w:val="24"/>
        </w:rPr>
        <w:t>]</w:t>
      </w:r>
      <w:r>
        <w:rPr>
          <w:sz w:val="24"/>
        </w:rPr>
        <w:t>, established in [</w:t>
      </w:r>
      <w:r>
        <w:rPr>
          <w:sz w:val="24"/>
          <w:shd w:fill="C0C0C0" w:color="auto" w:val="clear"/>
        </w:rPr>
        <w:t>official address in full</w:t>
      </w:r>
      <w:r>
        <w:rPr>
          <w:sz w:val="24"/>
        </w:rPr>
        <w:t>], represented by [</w:t>
      </w:r>
      <w:r>
        <w:rPr>
          <w:sz w:val="24"/>
          <w:shd w:fill="C0C0C0" w:color="auto" w:val="clear"/>
        </w:rPr>
        <w:t>….</w:t>
      </w:r>
      <w:r>
        <w:rPr>
          <w:sz w:val="24"/>
        </w:rPr>
        <w:t>],</w:t>
      </w:r>
    </w:p>
    <w:p>
      <w:pPr>
        <w:pStyle w:val="BodyText"/>
        <w:spacing w:before="5"/>
      </w:pPr>
    </w:p>
    <w:p>
      <w:pPr>
        <w:pStyle w:val="Heading1"/>
      </w:pPr>
      <w:r>
        <w:rPr/>
        <w:t>and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on the other part</w:t>
      </w:r>
      <w:r>
        <w:rPr>
          <w:sz w:val="24"/>
        </w:rPr>
        <w:t>,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59" w:val="left" w:leader="none"/>
        </w:tabs>
        <w:spacing w:line="240" w:lineRule="auto" w:before="0" w:after="0"/>
        <w:ind w:left="358" w:right="0" w:hanging="241"/>
        <w:jc w:val="left"/>
        <w:rPr>
          <w:sz w:val="24"/>
        </w:rPr>
      </w:pPr>
      <w:r>
        <w:rPr>
          <w:sz w:val="24"/>
        </w:rPr>
        <w:t>‘the corresponding</w:t>
      </w:r>
      <w:r>
        <w:rPr>
          <w:spacing w:val="-6"/>
          <w:sz w:val="24"/>
        </w:rPr>
        <w:t> </w:t>
      </w:r>
      <w:r>
        <w:rPr>
          <w:sz w:val="24"/>
        </w:rPr>
        <w:t>author’:</w:t>
      </w:r>
    </w:p>
    <w:p>
      <w:pPr>
        <w:pStyle w:val="BodyText"/>
        <w:spacing w:before="2"/>
        <w:rPr>
          <w:sz w:val="16"/>
        </w:rPr>
      </w:pPr>
    </w:p>
    <w:p>
      <w:pPr>
        <w:spacing w:line="480" w:lineRule="auto" w:before="90"/>
        <w:ind w:left="118" w:right="3607" w:firstLine="0"/>
        <w:jc w:val="left"/>
        <w:rPr>
          <w:b/>
          <w:sz w:val="24"/>
        </w:rPr>
      </w:pPr>
      <w:r>
        <w:rPr>
          <w:b/>
          <w:sz w:val="24"/>
        </w:rPr>
        <w:t>[</w:t>
      </w:r>
      <w:r>
        <w:rPr>
          <w:b/>
          <w:sz w:val="24"/>
          <w:shd w:fill="C0C0C0" w:color="auto" w:val="clear"/>
        </w:rPr>
        <w:t>full name</w:t>
      </w:r>
      <w:r>
        <w:rPr>
          <w:b/>
          <w:sz w:val="24"/>
        </w:rPr>
        <w:t>]</w:t>
      </w:r>
      <w:r>
        <w:rPr>
          <w:sz w:val="24"/>
        </w:rPr>
        <w:t>, [</w:t>
      </w:r>
      <w:r>
        <w:rPr>
          <w:sz w:val="24"/>
          <w:shd w:fill="C0C0C0" w:color="auto" w:val="clear"/>
        </w:rPr>
        <w:t>official address in full</w:t>
      </w:r>
      <w:r>
        <w:rPr>
          <w:sz w:val="24"/>
        </w:rPr>
        <w:t>], represented by [</w:t>
      </w:r>
      <w:r>
        <w:rPr>
          <w:sz w:val="24"/>
          <w:shd w:fill="C0C0C0" w:color="auto" w:val="clear"/>
        </w:rPr>
        <w:t>….</w:t>
      </w:r>
      <w:r>
        <w:rPr>
          <w:sz w:val="24"/>
        </w:rPr>
        <w:t>] and the following </w:t>
      </w:r>
      <w:r>
        <w:rPr>
          <w:b/>
          <w:sz w:val="24"/>
        </w:rPr>
        <w:t>other authors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</w:tabs>
        <w:spacing w:line="240" w:lineRule="auto" w:before="1" w:after="0"/>
        <w:ind w:left="358" w:right="0" w:hanging="241"/>
        <w:jc w:val="left"/>
        <w:rPr>
          <w:sz w:val="24"/>
        </w:rPr>
      </w:pPr>
      <w:r>
        <w:rPr>
          <w:b/>
          <w:sz w:val="24"/>
        </w:rPr>
        <w:t>[</w:t>
      </w:r>
      <w:r>
        <w:rPr>
          <w:b/>
          <w:sz w:val="24"/>
          <w:shd w:fill="C0C0C0" w:color="auto" w:val="clear"/>
        </w:rPr>
        <w:t>full</w:t>
      </w:r>
      <w:r>
        <w:rPr>
          <w:b/>
          <w:spacing w:val="-3"/>
          <w:sz w:val="24"/>
          <w:shd w:fill="C0C0C0" w:color="auto" w:val="clear"/>
        </w:rPr>
        <w:t> </w:t>
      </w:r>
      <w:r>
        <w:rPr>
          <w:b/>
          <w:sz w:val="24"/>
          <w:shd w:fill="C0C0C0" w:color="auto" w:val="clear"/>
        </w:rPr>
        <w:t>name</w:t>
      </w:r>
      <w:r>
        <w:rPr>
          <w:b/>
          <w:sz w:val="24"/>
        </w:rPr>
        <w:t>]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[</w:t>
      </w:r>
      <w:r>
        <w:rPr>
          <w:sz w:val="24"/>
          <w:shd w:fill="C0C0C0" w:color="auto" w:val="clear"/>
        </w:rPr>
        <w:t>official address</w:t>
      </w:r>
      <w:r>
        <w:rPr>
          <w:spacing w:val="-1"/>
          <w:sz w:val="24"/>
          <w:shd w:fill="C0C0C0" w:color="auto" w:val="clear"/>
        </w:rPr>
        <w:t> </w:t>
      </w:r>
      <w:r>
        <w:rPr>
          <w:sz w:val="24"/>
          <w:shd w:fill="C0C0C0" w:color="auto" w:val="clear"/>
        </w:rPr>
        <w:t>in full</w:t>
      </w:r>
      <w:r>
        <w:rPr>
          <w:sz w:val="24"/>
        </w:rPr>
        <w:t>],</w:t>
      </w:r>
      <w:r>
        <w:rPr>
          <w:spacing w:val="-1"/>
          <w:sz w:val="24"/>
        </w:rPr>
        <w:t> </w:t>
      </w:r>
      <w:r>
        <w:rPr>
          <w:sz w:val="24"/>
        </w:rPr>
        <w:t>represented by</w:t>
      </w:r>
      <w:r>
        <w:rPr>
          <w:spacing w:val="-6"/>
          <w:sz w:val="24"/>
        </w:rPr>
        <w:t> </w:t>
      </w:r>
      <w:r>
        <w:rPr>
          <w:sz w:val="24"/>
        </w:rPr>
        <w:t>[</w:t>
      </w:r>
      <w:r>
        <w:rPr>
          <w:sz w:val="24"/>
          <w:shd w:fill="C0C0C0" w:color="auto" w:val="clear"/>
        </w:rPr>
        <w:t>….</w:t>
      </w:r>
      <w:r>
        <w:rPr>
          <w:sz w:val="24"/>
        </w:rPr>
        <w:t>]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</w:tabs>
        <w:spacing w:line="240" w:lineRule="auto" w:before="230" w:after="0"/>
        <w:ind w:left="358" w:right="0" w:hanging="241"/>
        <w:jc w:val="left"/>
        <w:rPr>
          <w:sz w:val="24"/>
        </w:rPr>
      </w:pPr>
      <w:r>
        <w:rPr>
          <w:b/>
          <w:sz w:val="24"/>
        </w:rPr>
        <w:t>[</w:t>
      </w:r>
      <w:r>
        <w:rPr>
          <w:b/>
          <w:sz w:val="24"/>
          <w:shd w:fill="C0C0C0" w:color="auto" w:val="clear"/>
        </w:rPr>
        <w:t>full</w:t>
      </w:r>
      <w:r>
        <w:rPr>
          <w:b/>
          <w:spacing w:val="-3"/>
          <w:sz w:val="24"/>
          <w:shd w:fill="C0C0C0" w:color="auto" w:val="clear"/>
        </w:rPr>
        <w:t> </w:t>
      </w:r>
      <w:r>
        <w:rPr>
          <w:b/>
          <w:sz w:val="24"/>
          <w:shd w:fill="C0C0C0" w:color="auto" w:val="clear"/>
        </w:rPr>
        <w:t>name</w:t>
      </w:r>
      <w:r>
        <w:rPr>
          <w:b/>
          <w:sz w:val="24"/>
        </w:rPr>
        <w:t>]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[</w:t>
      </w:r>
      <w:r>
        <w:rPr>
          <w:sz w:val="24"/>
          <w:shd w:fill="C0C0C0" w:color="auto" w:val="clear"/>
        </w:rPr>
        <w:t>official address</w:t>
      </w:r>
      <w:r>
        <w:rPr>
          <w:spacing w:val="-1"/>
          <w:sz w:val="24"/>
          <w:shd w:fill="C0C0C0" w:color="auto" w:val="clear"/>
        </w:rPr>
        <w:t> </w:t>
      </w:r>
      <w:r>
        <w:rPr>
          <w:sz w:val="24"/>
          <w:shd w:fill="C0C0C0" w:color="auto" w:val="clear"/>
        </w:rPr>
        <w:t>in full</w:t>
      </w:r>
      <w:r>
        <w:rPr>
          <w:sz w:val="24"/>
        </w:rPr>
        <w:t>],</w:t>
      </w:r>
      <w:r>
        <w:rPr>
          <w:spacing w:val="-1"/>
          <w:sz w:val="24"/>
        </w:rPr>
        <w:t> </w:t>
      </w:r>
      <w:r>
        <w:rPr>
          <w:sz w:val="24"/>
        </w:rPr>
        <w:t>represented by</w:t>
      </w:r>
      <w:r>
        <w:rPr>
          <w:spacing w:val="-6"/>
          <w:sz w:val="24"/>
        </w:rPr>
        <w:t> </w:t>
      </w:r>
      <w:r>
        <w:rPr>
          <w:sz w:val="24"/>
        </w:rPr>
        <w:t>[</w:t>
      </w:r>
      <w:r>
        <w:rPr>
          <w:sz w:val="24"/>
          <w:shd w:fill="C0C0C0" w:color="auto" w:val="clear"/>
        </w:rPr>
        <w:t>….</w:t>
      </w:r>
      <w:r>
        <w:rPr>
          <w:sz w:val="24"/>
        </w:rPr>
        <w:t>]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18"/>
        <w:jc w:val="both"/>
      </w:pPr>
      <w:r>
        <w:rPr/>
        <w:t>[</w:t>
      </w:r>
      <w:r>
        <w:rPr>
          <w:shd w:fill="C0C0C0" w:color="auto" w:val="clear"/>
        </w:rPr>
        <w:t>same for each author</w:t>
      </w:r>
      <w:r>
        <w:rPr/>
        <w:t>].</w:t>
      </w:r>
    </w:p>
    <w:p>
      <w:pPr>
        <w:pStyle w:val="BodyText"/>
      </w:pPr>
    </w:p>
    <w:p>
      <w:pPr>
        <w:pStyle w:val="BodyText"/>
        <w:ind w:left="118" w:right="120"/>
        <w:jc w:val="both"/>
      </w:pPr>
      <w:r>
        <w:rPr/>
        <w:t>With this Addendum, the </w:t>
      </w:r>
      <w:r>
        <w:rPr>
          <w:b/>
        </w:rPr>
        <w:t>parties agree </w:t>
      </w:r>
      <w:r>
        <w:rPr/>
        <w:t>to </w:t>
      </w:r>
      <w:r>
        <w:rPr>
          <w:b/>
        </w:rPr>
        <w:t>complement </w:t>
      </w:r>
      <w:r>
        <w:rPr/>
        <w:t>and </w:t>
      </w:r>
      <w:r>
        <w:rPr>
          <w:b/>
        </w:rPr>
        <w:t>amend </w:t>
      </w:r>
      <w:r>
        <w:rPr/>
        <w:t>the attached Publication Agreement concerning the publication [</w:t>
      </w:r>
      <w:r>
        <w:rPr>
          <w:shd w:fill="C0C0C0" w:color="auto" w:val="clear"/>
        </w:rPr>
        <w:t>insert name of publication</w:t>
      </w:r>
      <w:r>
        <w:rPr/>
        <w:t>] in the Journal [</w:t>
      </w:r>
      <w:r>
        <w:rPr>
          <w:shd w:fill="C0C0C0" w:color="auto" w:val="clear"/>
        </w:rPr>
        <w:t>insert name</w:t>
      </w:r>
      <w:r>
        <w:rPr/>
        <w:t> </w:t>
      </w:r>
      <w:r>
        <w:rPr>
          <w:shd w:fill="C0C0C0" w:color="auto" w:val="clear"/>
        </w:rPr>
        <w:t>of journal</w:t>
      </w:r>
      <w:r>
        <w:rPr/>
        <w:t>] with the following open access clause:</w:t>
      </w:r>
    </w:p>
    <w:p>
      <w:pPr>
        <w:pStyle w:val="BodyText"/>
        <w:spacing w:before="5"/>
      </w:pPr>
    </w:p>
    <w:p>
      <w:pPr>
        <w:pStyle w:val="Heading1"/>
        <w:jc w:val="both"/>
      </w:pPr>
      <w:r>
        <w:rPr/>
        <w:t>Open access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before="1"/>
        <w:ind w:left="118"/>
        <w:jc w:val="both"/>
      </w:pPr>
      <w:r>
        <w:rPr/>
        <w:t>The author(s) retain(s) the right to: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986" w:footer="746" w:top="1460" w:bottom="940" w:left="1300" w:right="130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839" w:val="left" w:leader="none"/>
        </w:tabs>
        <w:spacing w:line="240" w:lineRule="auto" w:before="80" w:after="0"/>
        <w:ind w:left="838" w:right="118" w:hanging="360"/>
        <w:jc w:val="both"/>
        <w:rPr>
          <w:sz w:val="24"/>
        </w:rPr>
      </w:pPr>
      <w:r>
        <w:rPr>
          <w:sz w:val="24"/>
        </w:rPr>
        <w:t>deposit a machine-readable electronic copy of the published version or the final manu- script (after peer review) in an institutional, centralised and/or subject-based reposito- ry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</w:tabs>
        <w:spacing w:line="240" w:lineRule="auto" w:before="0" w:after="0"/>
        <w:ind w:left="838" w:right="125" w:hanging="360"/>
        <w:jc w:val="both"/>
        <w:rPr>
          <w:sz w:val="24"/>
        </w:rPr>
      </w:pPr>
      <w:r>
        <w:rPr>
          <w:sz w:val="24"/>
        </w:rPr>
        <w:t>provide open access (i.e. free-of-charge access to the electronic copy to anyone) through this</w:t>
      </w:r>
      <w:r>
        <w:rPr>
          <w:spacing w:val="-1"/>
          <w:sz w:val="24"/>
        </w:rPr>
        <w:t> </w:t>
      </w:r>
      <w:r>
        <w:rPr>
          <w:sz w:val="24"/>
        </w:rPr>
        <w:t>repository: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119" w:hanging="586"/>
        <w:jc w:val="left"/>
        <w:rPr>
          <w:sz w:val="24"/>
        </w:rPr>
      </w:pPr>
      <w:r>
        <w:rPr>
          <w:sz w:val="24"/>
        </w:rPr>
        <w:t>immediately, if the publication itself is published ‘open access’ (i.e. if an elec- tronic version is also available free of charge to the reader via the publisher)</w:t>
      </w:r>
      <w:r>
        <w:rPr>
          <w:spacing w:val="-8"/>
          <w:sz w:val="24"/>
        </w:rPr>
        <w:t> </w:t>
      </w:r>
      <w:r>
        <w:rPr>
          <w:sz w:val="24"/>
        </w:rPr>
        <w:t>or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558" w:val="left" w:leader="none"/>
          <w:tab w:pos="1559" w:val="left" w:leader="none"/>
        </w:tabs>
        <w:spacing w:line="240" w:lineRule="auto" w:before="0" w:after="0"/>
        <w:ind w:left="1558" w:right="0" w:hanging="653"/>
        <w:jc w:val="left"/>
        <w:rPr>
          <w:sz w:val="24"/>
        </w:rPr>
      </w:pPr>
      <w:r>
        <w:rPr>
          <w:sz w:val="24"/>
        </w:rPr>
        <w:t>within </w:t>
      </w:r>
      <w:r>
        <w:rPr>
          <w:i/>
          <w:color w:val="0087CC"/>
          <w:sz w:val="24"/>
        </w:rPr>
        <w:t>[</w:t>
      </w:r>
      <w:r>
        <w:rPr>
          <w:sz w:val="24"/>
        </w:rPr>
        <w:t>6</w:t>
      </w:r>
      <w:r>
        <w:rPr>
          <w:i/>
          <w:color w:val="0087CC"/>
          <w:sz w:val="24"/>
        </w:rPr>
        <w:t>][</w:t>
      </w:r>
      <w:r>
        <w:rPr>
          <w:sz w:val="24"/>
        </w:rPr>
        <w:t>12 </w:t>
      </w:r>
      <w:r>
        <w:rPr>
          <w:i/>
          <w:color w:val="0087CC"/>
          <w:spacing w:val="2"/>
          <w:sz w:val="24"/>
        </w:rPr>
        <w:t>]</w:t>
      </w:r>
      <w:r>
        <w:rPr>
          <w:color w:val="0087CC"/>
          <w:spacing w:val="2"/>
          <w:sz w:val="24"/>
          <w:vertAlign w:val="superscript"/>
        </w:rPr>
        <w:t>1</w:t>
      </w:r>
      <w:r>
        <w:rPr>
          <w:color w:val="0087CC"/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months after</w:t>
      </w:r>
      <w:r>
        <w:rPr>
          <w:spacing w:val="-30"/>
          <w:sz w:val="24"/>
          <w:vertAlign w:val="baseline"/>
        </w:rPr>
        <w:t> </w:t>
      </w:r>
      <w:r>
        <w:rPr>
          <w:sz w:val="24"/>
          <w:vertAlign w:val="baseline"/>
        </w:rPr>
        <w:t>publication.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/>
        <w:t>In case of conflicting provisions, this Addendum takes precedence over the Publication Agreement.</w:t>
      </w:r>
    </w:p>
    <w:p>
      <w:pPr>
        <w:pStyle w:val="BodyText"/>
      </w:pPr>
    </w:p>
    <w:p>
      <w:pPr>
        <w:pStyle w:val="BodyText"/>
        <w:spacing w:line="480" w:lineRule="auto"/>
        <w:ind w:left="118" w:right="2540"/>
      </w:pPr>
      <w:r>
        <w:rPr/>
        <w:t>All other provisions of the Publishing Agreement remain unchanged. This Addendum enters into force on the day of the last signature.</w:t>
      </w:r>
    </w:p>
    <w:p>
      <w:pPr>
        <w:spacing w:before="0"/>
        <w:ind w:left="118" w:right="0" w:firstLine="0"/>
        <w:jc w:val="left"/>
        <w:rPr>
          <w:i/>
          <w:sz w:val="24"/>
        </w:rPr>
      </w:pPr>
      <w:r>
        <w:rPr>
          <w:i/>
          <w:color w:val="0087CC"/>
          <w:sz w:val="24"/>
        </w:rPr>
        <w:t>[OPTION if addendum signed after publication: </w:t>
      </w:r>
      <w:r>
        <w:rPr>
          <w:sz w:val="24"/>
        </w:rPr>
        <w:t>It takes effect on [</w:t>
      </w:r>
      <w:r>
        <w:rPr>
          <w:sz w:val="24"/>
          <w:shd w:fill="C0C0C0" w:color="auto" w:val="clear"/>
        </w:rPr>
        <w:t>insert publication date</w:t>
      </w:r>
      <w:r>
        <w:rPr>
          <w:sz w:val="24"/>
        </w:rPr>
        <w:t>]</w:t>
      </w:r>
      <w:r>
        <w:rPr>
          <w:i/>
          <w:sz w:val="24"/>
        </w:rPr>
        <w:t>.</w:t>
      </w:r>
      <w:r>
        <w:rPr>
          <w:i/>
          <w:color w:val="0087CC"/>
          <w:sz w:val="24"/>
        </w:rPr>
        <w:t>]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230"/>
        <w:ind w:left="118"/>
      </w:pPr>
      <w:r>
        <w:rPr/>
        <w:t>SIGNATURES</w:t>
      </w:r>
    </w:p>
    <w:p>
      <w:pPr>
        <w:pStyle w:val="BodyText"/>
      </w:pPr>
    </w:p>
    <w:p>
      <w:pPr>
        <w:pStyle w:val="BodyText"/>
        <w:tabs>
          <w:tab w:pos="4514" w:val="left" w:leader="none"/>
        </w:tabs>
        <w:spacing w:before="1"/>
        <w:ind w:left="118"/>
      </w:pPr>
      <w:r>
        <w:rPr/>
        <w:t>For</w:t>
      </w:r>
      <w:r>
        <w:rPr>
          <w:spacing w:val="-2"/>
        </w:rPr>
        <w:t> </w:t>
      </w:r>
      <w:r>
        <w:rPr/>
        <w:t>the authors:</w:t>
        <w:tab/>
        <w:t>For the</w:t>
      </w:r>
      <w:r>
        <w:rPr>
          <w:spacing w:val="-2"/>
        </w:rPr>
        <w:t> </w:t>
      </w:r>
      <w:r>
        <w:rPr/>
        <w:t>publisher: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838" w:val="left" w:leader="none"/>
          <w:tab w:pos="1558" w:val="left" w:leader="none"/>
          <w:tab w:pos="1657" w:val="left" w:leader="none"/>
          <w:tab w:pos="4499" w:val="left" w:leader="none"/>
          <w:tab w:pos="5159" w:val="left" w:leader="none"/>
          <w:tab w:pos="6600" w:val="left" w:leader="none"/>
        </w:tabs>
        <w:spacing w:line="720" w:lineRule="auto"/>
        <w:ind w:left="118" w:right="2133"/>
      </w:pPr>
      <w:r>
        <w:rPr/>
        <w:t>name</w:t>
        <w:tab/>
        <w:t>date</w:t>
        <w:tab/>
        <w:tab/>
        <w:t>signature</w:t>
        <w:tab/>
        <w:t>date</w:t>
        <w:tab/>
        <w:t>signature</w:t>
        <w:tab/>
      </w:r>
      <w:r>
        <w:rPr>
          <w:spacing w:val="-4"/>
        </w:rPr>
        <w:t>stamp </w:t>
      </w:r>
      <w:r>
        <w:rPr/>
        <w:t>name</w:t>
        <w:tab/>
        <w:t>date</w:t>
        <w:tab/>
        <w:t>signature</w:t>
      </w:r>
    </w:p>
    <w:p>
      <w:pPr>
        <w:pStyle w:val="BodyText"/>
        <w:tabs>
          <w:tab w:pos="838" w:val="left" w:leader="none"/>
          <w:tab w:pos="1558" w:val="left" w:leader="none"/>
        </w:tabs>
        <w:spacing w:line="231" w:lineRule="exact"/>
        <w:ind w:left="118"/>
      </w:pPr>
      <w:r>
        <w:rPr/>
        <w:t>name</w:t>
        <w:tab/>
        <w:t>date</w:t>
        <w:tab/>
        <w:t>signature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</w:pPr>
      <w:r>
        <w:rPr/>
        <w:t>Done in two originals, in English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100"/>
        <w:gridCol w:w="5605"/>
      </w:tblGrid>
      <w:tr>
        <w:trPr>
          <w:trHeight w:val="484" w:hRule="atLeast"/>
        </w:trPr>
        <w:tc>
          <w:tcPr>
            <w:tcW w:w="8948" w:type="dxa"/>
            <w:gridSpan w:val="3"/>
          </w:tcPr>
          <w:p>
            <w:pPr>
              <w:pStyle w:val="TableParagraph"/>
              <w:spacing w:before="122"/>
              <w:ind w:left="3402" w:right="3396"/>
              <w:rPr>
                <w:b/>
                <w:sz w:val="20"/>
              </w:rPr>
            </w:pPr>
            <w:r>
              <w:rPr>
                <w:b/>
                <w:color w:val="0087CC"/>
                <w:sz w:val="20"/>
              </w:rPr>
              <w:t>History of changes</w:t>
            </w:r>
          </w:p>
        </w:tc>
      </w:tr>
      <w:tr>
        <w:trPr>
          <w:trHeight w:val="333" w:hRule="atLeast"/>
        </w:trPr>
        <w:tc>
          <w:tcPr>
            <w:tcW w:w="1243" w:type="dxa"/>
          </w:tcPr>
          <w:p>
            <w:pPr>
              <w:pStyle w:val="TableParagraph"/>
              <w:ind w:left="173" w:right="168"/>
              <w:rPr>
                <w:b/>
                <w:sz w:val="20"/>
              </w:rPr>
            </w:pPr>
            <w:r>
              <w:rPr>
                <w:b/>
                <w:color w:val="0087CC"/>
                <w:sz w:val="20"/>
              </w:rPr>
              <w:t>Version</w:t>
            </w:r>
          </w:p>
        </w:tc>
        <w:tc>
          <w:tcPr>
            <w:tcW w:w="2100" w:type="dxa"/>
          </w:tcPr>
          <w:p>
            <w:pPr>
              <w:pStyle w:val="TableParagraph"/>
              <w:ind w:right="111"/>
              <w:rPr>
                <w:b/>
                <w:sz w:val="20"/>
              </w:rPr>
            </w:pPr>
            <w:r>
              <w:rPr>
                <w:b/>
                <w:color w:val="0087CC"/>
                <w:sz w:val="20"/>
              </w:rPr>
              <w:t>Publication date</w:t>
            </w:r>
          </w:p>
        </w:tc>
        <w:tc>
          <w:tcPr>
            <w:tcW w:w="5605" w:type="dxa"/>
          </w:tcPr>
          <w:p>
            <w:pPr>
              <w:pStyle w:val="TableParagraph"/>
              <w:ind w:left="2360" w:right="2359"/>
              <w:rPr>
                <w:b/>
                <w:sz w:val="20"/>
              </w:rPr>
            </w:pPr>
            <w:r>
              <w:rPr>
                <w:b/>
                <w:color w:val="0087CC"/>
                <w:sz w:val="20"/>
              </w:rPr>
              <w:t>Change</w:t>
            </w:r>
          </w:p>
        </w:tc>
      </w:tr>
      <w:tr>
        <w:trPr>
          <w:trHeight w:val="309" w:hRule="atLeast"/>
        </w:trPr>
        <w:tc>
          <w:tcPr>
            <w:tcW w:w="1243" w:type="dxa"/>
          </w:tcPr>
          <w:p>
            <w:pPr>
              <w:pStyle w:val="TableParagraph"/>
              <w:spacing w:before="44"/>
              <w:ind w:left="173" w:right="167"/>
              <w:rPr>
                <w:sz w:val="18"/>
              </w:rPr>
            </w:pPr>
            <w:r>
              <w:rPr>
                <w:color w:val="0087CC"/>
                <w:sz w:val="18"/>
              </w:rPr>
              <w:t>1.0</w:t>
            </w:r>
          </w:p>
        </w:tc>
        <w:tc>
          <w:tcPr>
            <w:tcW w:w="2100" w:type="dxa"/>
          </w:tcPr>
          <w:p>
            <w:pPr>
              <w:pStyle w:val="TableParagraph"/>
              <w:spacing w:before="44"/>
              <w:ind w:right="108"/>
              <w:rPr>
                <w:sz w:val="18"/>
              </w:rPr>
            </w:pPr>
            <w:r>
              <w:rPr>
                <w:color w:val="0087CC"/>
                <w:sz w:val="18"/>
              </w:rPr>
              <w:t>20.03.2017</w:t>
            </w:r>
          </w:p>
        </w:tc>
        <w:tc>
          <w:tcPr>
            <w:tcW w:w="560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22" w:val="left" w:leader="none"/>
                <w:tab w:pos="423" w:val="left" w:leader="none"/>
              </w:tabs>
              <w:spacing w:line="240" w:lineRule="auto" w:before="44" w:after="0"/>
              <w:ind w:left="422" w:right="0" w:hanging="317"/>
              <w:jc w:val="left"/>
              <w:rPr>
                <w:sz w:val="18"/>
              </w:rPr>
            </w:pPr>
            <w:r>
              <w:rPr>
                <w:color w:val="0087CC"/>
                <w:sz w:val="18"/>
              </w:rPr>
              <w:t>Initial</w:t>
            </w:r>
            <w:r>
              <w:rPr>
                <w:color w:val="0087CC"/>
                <w:spacing w:val="-2"/>
                <w:sz w:val="18"/>
              </w:rPr>
              <w:t> </w:t>
            </w:r>
            <w:r>
              <w:rPr>
                <w:color w:val="0087CC"/>
                <w:sz w:val="18"/>
              </w:rPr>
              <w:t>version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70.944pt;margin-top:18.400986pt;width:144.050pt;height:.1pt;mso-position-horizontal-relative:page;mso-position-vertical-relative:paragraph;z-index:-251658240;mso-wrap-distance-left:0;mso-wrap-distance-right:0" coordorigin="1419,368" coordsize="2881,0" path="m1419,368l4299,368e" filled="false" stroked="true" strokeweight=".47998pt" strokecolor="#000000">
            <v:path arrowok="t"/>
            <v:stroke dashstyle="solid"/>
            <w10:wrap type="topAndBottom"/>
          </v:shape>
        </w:pict>
      </w:r>
    </w:p>
    <w:p>
      <w:pPr>
        <w:tabs>
          <w:tab w:pos="478" w:val="left" w:leader="none"/>
        </w:tabs>
        <w:spacing w:before="30"/>
        <w:ind w:left="478" w:right="131" w:hanging="360"/>
        <w:jc w:val="left"/>
        <w:rPr>
          <w:sz w:val="20"/>
        </w:rPr>
      </w:pPr>
      <w:r>
        <w:rPr>
          <w:color w:val="0087CC"/>
          <w:position w:val="9"/>
          <w:sz w:val="13"/>
        </w:rPr>
        <w:t>1</w:t>
        <w:tab/>
      </w:r>
      <w:r>
        <w:rPr>
          <w:color w:val="0087CC"/>
          <w:sz w:val="20"/>
        </w:rPr>
        <w:t>Choose 12 months for publications in the social sciences and humanities and 6 months for publications in other domains.</w:t>
      </w:r>
    </w:p>
    <w:sectPr>
      <w:pgSz w:w="11910" w:h="16840"/>
      <w:pgMar w:header="986" w:footer="746" w:top="1460" w:bottom="9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359985pt;margin-top:793.40448pt;width:11pt;height:13.05pt;mso-position-horizontal-relative:page;mso-position-vertical-relative:page;z-index:-25181081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1.449997pt;margin-top:48.324505pt;width:284pt;height:13.05pt;mso-position-horizontal-relative:page;mso-position-vertical-relative:page;z-index:-2518118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0087CC"/>
                    <w:sz w:val="20"/>
                  </w:rPr>
                  <w:t>PP templates: Open Access Publishing Agreement: V1.0 – 20.03.2017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"/>
      <w:lvlJc w:val="left"/>
      <w:pPr>
        <w:ind w:left="422" w:hanging="317"/>
      </w:pPr>
      <w:rPr>
        <w:rFonts w:hint="default" w:ascii="Wingdings" w:hAnsi="Wingdings" w:eastAsia="Wingdings" w:cs="Wingdings"/>
        <w:color w:val="0087CC"/>
        <w:w w:val="100"/>
        <w:sz w:val="18"/>
        <w:szCs w:val="18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37" w:hanging="31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455" w:hanging="31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972" w:hanging="31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490" w:hanging="31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007" w:hanging="31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525" w:hanging="31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042" w:hanging="31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560" w:hanging="317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gb" w:eastAsia="en-gb" w:bidi="en-gb"/>
      </w:rPr>
    </w:lvl>
    <w:lvl w:ilvl="1">
      <w:start w:val="1"/>
      <w:numFmt w:val="lowerLetter"/>
      <w:lvlText w:val="%2)"/>
      <w:lvlJc w:val="left"/>
      <w:pPr>
        <w:ind w:left="838" w:hanging="360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gb" w:eastAsia="en-gb" w:bidi="en-gb"/>
      </w:rPr>
    </w:lvl>
    <w:lvl w:ilvl="2">
      <w:start w:val="1"/>
      <w:numFmt w:val="lowerRoman"/>
      <w:lvlText w:val="(%3)"/>
      <w:lvlJc w:val="left"/>
      <w:pPr>
        <w:ind w:left="1558" w:hanging="586"/>
        <w:jc w:val="righ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528" w:hanging="586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497" w:hanging="586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465" w:hanging="586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434" w:hanging="586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403" w:hanging="586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371" w:hanging="586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838" w:hanging="360"/>
      </w:pPr>
      <w:rPr>
        <w:rFonts w:hint="default" w:ascii="Wingdings" w:hAnsi="Wingdings" w:eastAsia="Wingdings" w:cs="Wingdings"/>
        <w:color w:val="0087CC"/>
        <w:w w:val="100"/>
        <w:sz w:val="18"/>
        <w:szCs w:val="18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380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227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074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921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768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615" w:hanging="360"/>
      </w:pPr>
      <w:rPr>
        <w:rFonts w:hint="default"/>
        <w:lang w:val="en-gb" w:eastAsia="en-gb" w:bidi="en-gb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838" w:hanging="360"/>
    </w:pPr>
    <w:rPr>
      <w:rFonts w:ascii="Times New Roman" w:hAnsi="Times New Roman" w:eastAsia="Times New Roman" w:cs="Times New Roman"/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43"/>
      <w:ind w:left="117"/>
      <w:jc w:val="center"/>
    </w:pPr>
    <w:rPr>
      <w:rFonts w:ascii="Verdana" w:hAnsi="Verdana" w:eastAsia="Verdana" w:cs="Verdana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Noemi (RTD-EXT)</dc:creator>
  <dcterms:created xsi:type="dcterms:W3CDTF">2022-05-13T13:23:34Z</dcterms:created>
  <dcterms:modified xsi:type="dcterms:W3CDTF">2022-05-13T13:23:34Z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